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4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达州市社会信用信息平台国产化改造项目</w:t>
      </w:r>
      <w:r>
        <w:rPr>
          <w:rFonts w:hint="eastAsia" w:ascii="方正小标宋_GBK" w:hAnsi="方正小标宋_GBK" w:eastAsia="方正小标宋_GBK" w:cs="方正小标宋_GBK"/>
          <w:sz w:val="44"/>
          <w:szCs w:val="44"/>
          <w:lang w:eastAsia="zh-CN"/>
        </w:rPr>
        <w:t>具体功能（</w:t>
      </w:r>
      <w:r>
        <w:rPr>
          <w:rFonts w:hint="eastAsia" w:ascii="方正小标宋_GBK" w:hAnsi="方正小标宋_GBK" w:eastAsia="方正小标宋_GBK" w:cs="方正小标宋_GBK"/>
          <w:sz w:val="44"/>
          <w:szCs w:val="44"/>
        </w:rPr>
        <w:t>需求</w:t>
      </w:r>
      <w:r>
        <w:rPr>
          <w:rFonts w:hint="eastAsia" w:ascii="方正小标宋_GBK" w:hAnsi="方正小标宋_GBK" w:eastAsia="方正小标宋_GBK" w:cs="方正小标宋_GBK"/>
          <w:sz w:val="44"/>
          <w:szCs w:val="44"/>
          <w:lang w:eastAsia="zh-CN"/>
        </w:rPr>
        <w:t>）清单</w:t>
      </w:r>
    </w:p>
    <w:tbl>
      <w:tblPr>
        <w:tblStyle w:val="3"/>
        <w:tblW w:w="94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4"/>
        <w:gridCol w:w="1215"/>
        <w:gridCol w:w="4200"/>
        <w:gridCol w:w="748"/>
        <w:gridCol w:w="712"/>
        <w:gridCol w:w="18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784"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Style w:val="6"/>
                <w:rFonts w:hint="eastAsia" w:ascii="方正黑体_GBK" w:hAnsi="方正黑体_GBK" w:eastAsia="方正黑体_GBK" w:cs="方正黑体_GBK"/>
                <w:color w:val="auto"/>
                <w:sz w:val="24"/>
                <w:szCs w:val="24"/>
                <w:lang w:val="en-US" w:eastAsia="zh-CN" w:bidi="ar"/>
              </w:rPr>
              <w:t>序号</w:t>
            </w:r>
          </w:p>
        </w:tc>
        <w:tc>
          <w:tcPr>
            <w:tcW w:w="1215"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left="0" w:leftChars="0" w:firstLine="0" w:firstLineChars="0"/>
              <w:jc w:val="both"/>
              <w:textAlignment w:val="center"/>
              <w:rPr>
                <w:rFonts w:hint="eastAsia" w:ascii="方正黑体_GBK" w:hAnsi="方正黑体_GBK" w:eastAsia="方正黑体_GBK" w:cs="方正黑体_GBK"/>
                <w:b/>
                <w:bCs/>
                <w:i w:val="0"/>
                <w:iCs w:val="0"/>
                <w:color w:val="auto"/>
                <w:sz w:val="24"/>
                <w:szCs w:val="24"/>
                <w:u w:val="none"/>
              </w:rPr>
            </w:pPr>
            <w:r>
              <w:rPr>
                <w:rStyle w:val="6"/>
                <w:rFonts w:hint="eastAsia" w:ascii="方正黑体_GBK" w:hAnsi="方正黑体_GBK" w:eastAsia="方正黑体_GBK" w:cs="方正黑体_GBK"/>
                <w:color w:val="auto"/>
                <w:sz w:val="24"/>
                <w:szCs w:val="24"/>
                <w:lang w:val="en-US" w:eastAsia="zh-CN" w:bidi="ar"/>
              </w:rPr>
              <w:t>建设内容</w:t>
            </w:r>
          </w:p>
        </w:tc>
        <w:tc>
          <w:tcPr>
            <w:tcW w:w="4200"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Style w:val="6"/>
                <w:rFonts w:hint="eastAsia" w:ascii="方正黑体_GBK" w:hAnsi="方正黑体_GBK" w:eastAsia="方正黑体_GBK" w:cs="方正黑体_GBK"/>
                <w:color w:val="auto"/>
                <w:sz w:val="24"/>
                <w:szCs w:val="24"/>
                <w:lang w:val="en-US" w:eastAsia="zh-CN" w:bidi="ar"/>
              </w:rPr>
              <w:t>系统/服务功能（需求）描述</w:t>
            </w:r>
          </w:p>
        </w:tc>
        <w:tc>
          <w:tcPr>
            <w:tcW w:w="748"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Style w:val="6"/>
                <w:rFonts w:hint="eastAsia" w:ascii="方正黑体_GBK" w:hAnsi="方正黑体_GBK" w:eastAsia="方正黑体_GBK" w:cs="方正黑体_GBK"/>
                <w:color w:val="auto"/>
                <w:sz w:val="24"/>
                <w:szCs w:val="24"/>
                <w:lang w:val="en-US" w:eastAsia="zh-CN" w:bidi="ar"/>
              </w:rPr>
              <w:t>数量</w:t>
            </w:r>
          </w:p>
        </w:tc>
        <w:tc>
          <w:tcPr>
            <w:tcW w:w="712"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Style w:val="6"/>
                <w:rFonts w:hint="eastAsia" w:ascii="方正黑体_GBK" w:hAnsi="方正黑体_GBK" w:eastAsia="方正黑体_GBK" w:cs="方正黑体_GBK"/>
                <w:color w:val="auto"/>
                <w:sz w:val="24"/>
                <w:szCs w:val="24"/>
                <w:lang w:val="en-US" w:eastAsia="zh-CN" w:bidi="ar"/>
              </w:rPr>
              <w:t>单位</w:t>
            </w:r>
          </w:p>
        </w:tc>
        <w:tc>
          <w:tcPr>
            <w:tcW w:w="1826" w:type="dxa"/>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left="0" w:leftChars="0" w:firstLine="0" w:firstLineChars="0"/>
              <w:jc w:val="center"/>
              <w:textAlignment w:val="center"/>
              <w:rPr>
                <w:rFonts w:hint="eastAsia" w:ascii="方正黑体_GBK" w:hAnsi="方正黑体_GBK" w:eastAsia="方正黑体_GBK" w:cs="方正黑体_GBK"/>
                <w:b/>
                <w:bCs/>
                <w:i w:val="0"/>
                <w:iCs w:val="0"/>
                <w:color w:val="auto"/>
                <w:sz w:val="24"/>
                <w:szCs w:val="24"/>
                <w:u w:val="none"/>
              </w:rPr>
            </w:pPr>
            <w:r>
              <w:rPr>
                <w:rStyle w:val="6"/>
                <w:rFonts w:hint="eastAsia" w:ascii="方正黑体_GBK" w:hAnsi="方正黑体_GBK" w:eastAsia="方正黑体_GBK" w:cs="方正黑体_GBK"/>
                <w:color w:val="auto"/>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9485" w:type="dxa"/>
            <w:gridSpan w:val="6"/>
            <w:tcBorders>
              <w:top w:val="single" w:color="000000" w:sz="8" w:space="0"/>
              <w:left w:val="single" w:color="000000" w:sz="8" w:space="0"/>
              <w:bottom w:val="single" w:color="000000" w:sz="8" w:space="0"/>
              <w:right w:val="single" w:color="000000" w:sz="8" w:space="0"/>
            </w:tcBorders>
            <w:shd w:val="clear" w:color="auto" w:fill="auto"/>
            <w:noWrap w:val="0"/>
            <w:vAlign w:val="center"/>
          </w:tcPr>
          <w:p>
            <w:pPr>
              <w:keepNext w:val="0"/>
              <w:keepLines w:val="0"/>
              <w:widowControl/>
              <w:suppressLineNumbers w:val="0"/>
              <w:ind w:left="0" w:leftChars="0" w:firstLine="0" w:firstLineChars="0"/>
              <w:jc w:val="center"/>
              <w:textAlignment w:val="center"/>
              <w:rPr>
                <w:rStyle w:val="6"/>
                <w:rFonts w:hint="default" w:ascii="Times New Roman" w:hAnsi="Times New Roman" w:cs="Times New Roman"/>
                <w:color w:val="auto"/>
                <w:lang w:val="en-US" w:eastAsia="zh-CN" w:bidi="ar"/>
              </w:rPr>
            </w:pPr>
            <w:r>
              <w:rPr>
                <w:rFonts w:hint="eastAsia" w:ascii="方正楷体_GBK" w:hAnsi="方正楷体_GBK" w:eastAsia="方正楷体_GBK" w:cs="方正楷体_GBK"/>
                <w:b/>
                <w:bCs/>
                <w:i w:val="0"/>
                <w:iCs w:val="0"/>
                <w:color w:val="auto"/>
                <w:sz w:val="24"/>
                <w:szCs w:val="24"/>
                <w:u w:val="none"/>
                <w:lang w:val="en-US" w:eastAsia="zh-CN"/>
              </w:rPr>
              <w:t>一、操作系统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操作系统改造</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达州市社会信用信息平台国产化项目选择国产操作系统。</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14</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符合国产化替代要求操作系统版本。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确保系统功能完整，无缺失、无故</w:t>
            </w:r>
            <w:bookmarkStart w:id="0" w:name="_GoBack"/>
            <w:bookmarkEnd w:id="0"/>
            <w:r>
              <w:rPr>
                <w:rStyle w:val="6"/>
                <w:rFonts w:hint="default" w:ascii="Times New Roman" w:hAnsi="Times New Roman" w:cs="Times New Roman"/>
                <w:color w:val="auto"/>
                <w:lang w:val="en-US" w:eastAsia="zh-CN" w:bidi="ar"/>
              </w:rPr>
              <w:t>障，系统功能全部正常使用，实现平滑迁移。</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改造效果在性能方面：后台业务子系统实现200并发，信用门户实现1000在线标准，平均事务响应在3秒内。在可靠性方面：满足在2</w:t>
            </w:r>
            <w:r>
              <w:rPr>
                <w:rStyle w:val="7"/>
                <w:rFonts w:hint="default" w:ascii="Times New Roman" w:hAnsi="Times New Roman" w:eastAsia="仿宋" w:cs="Times New Roman"/>
                <w:color w:val="auto"/>
                <w:lang w:val="en-US" w:eastAsia="zh-CN" w:bidi="ar"/>
              </w:rPr>
              <w:t xml:space="preserve"> </w:t>
            </w:r>
            <w:r>
              <w:rPr>
                <w:rStyle w:val="6"/>
                <w:rFonts w:hint="default" w:ascii="Times New Roman" w:hAnsi="Times New Roman" w:cs="Times New Roman"/>
                <w:color w:val="auto"/>
                <w:lang w:val="en-US" w:eastAsia="zh-CN" w:bidi="ar"/>
              </w:rPr>
              <w:t>小时执行功能业务</w:t>
            </w:r>
            <w:r>
              <w:rPr>
                <w:rStyle w:val="7"/>
                <w:rFonts w:hint="default" w:ascii="Times New Roman" w:hAnsi="Times New Roman" w:eastAsia="仿宋" w:cs="Times New Roman"/>
                <w:color w:val="auto"/>
                <w:lang w:val="en-US" w:eastAsia="zh-CN" w:bidi="ar"/>
              </w:rPr>
              <w:t xml:space="preserve"> </w:t>
            </w:r>
            <w:r>
              <w:rPr>
                <w:rStyle w:val="6"/>
                <w:rFonts w:hint="default" w:ascii="Times New Roman" w:hAnsi="Times New Roman" w:cs="Times New Roman"/>
                <w:color w:val="auto"/>
                <w:lang w:val="en-US" w:eastAsia="zh-CN" w:bidi="ar"/>
              </w:rPr>
              <w:t>200</w:t>
            </w:r>
            <w:r>
              <w:rPr>
                <w:rStyle w:val="7"/>
                <w:rFonts w:hint="default" w:ascii="Times New Roman" w:hAnsi="Times New Roman" w:eastAsia="仿宋" w:cs="Times New Roman"/>
                <w:color w:val="auto"/>
                <w:lang w:val="en-US" w:eastAsia="zh-CN" w:bidi="ar"/>
              </w:rPr>
              <w:t xml:space="preserve"> </w:t>
            </w:r>
            <w:r>
              <w:rPr>
                <w:rStyle w:val="6"/>
                <w:rFonts w:hint="default" w:ascii="Times New Roman" w:hAnsi="Times New Roman" w:cs="Times New Roman"/>
                <w:color w:val="auto"/>
                <w:lang w:val="en-US" w:eastAsia="zh-CN" w:bidi="ar"/>
              </w:rPr>
              <w:t>次，保证数据的有效性、完整性。</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2</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数据库改造</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达州市社会信用信息平台国产化项目选择国产数据库。</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2</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符合国产化替代要求数据库版本。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jc w:val="center"/>
        </w:trPr>
        <w:tc>
          <w:tcPr>
            <w:tcW w:w="784" w:type="dxa"/>
            <w:vMerge w:val="continue"/>
            <w:tcBorders>
              <w:top w:val="single" w:color="auto" w:sz="4" w:space="0"/>
              <w:left w:val="single" w:color="auto" w:sz="4"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确保国产数据库采用冗余部署，保障系统高可用性，国产数据库功能主要体现在数据审计，可为数据运维提供决策分析。</w:t>
            </w:r>
          </w:p>
        </w:tc>
        <w:tc>
          <w:tcPr>
            <w:tcW w:w="748"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000000" w:sz="8" w:space="0"/>
              <w:bottom w:val="single" w:color="000000" w:sz="8"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84" w:type="dxa"/>
            <w:vMerge w:val="continue"/>
            <w:tcBorders>
              <w:top w:val="nil"/>
              <w:left w:val="single" w:color="auto" w:sz="4"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vMerge w:val="restart"/>
            <w:tcBorders>
              <w:top w:val="nil"/>
              <w:left w:val="nil"/>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改造效果在安全性方面</w:t>
            </w:r>
            <w:r>
              <w:rPr>
                <w:rFonts w:hint="default" w:ascii="Times New Roman" w:hAnsi="Times New Roman" w:cs="Times New Roman"/>
                <w:b/>
                <w:bCs/>
                <w:i w:val="0"/>
                <w:iCs w:val="0"/>
                <w:color w:val="auto"/>
                <w:kern w:val="0"/>
                <w:sz w:val="21"/>
                <w:szCs w:val="21"/>
                <w:u w:val="none"/>
                <w:lang w:val="en-US" w:eastAsia="zh-CN" w:bidi="ar"/>
              </w:rPr>
              <w:t>：</w:t>
            </w:r>
            <w:r>
              <w:rPr>
                <w:rFonts w:hint="default" w:ascii="Times New Roman" w:hAnsi="Times New Roman" w:eastAsia="仿宋" w:cs="Times New Roman"/>
                <w:b/>
                <w:bCs/>
                <w:i w:val="0"/>
                <w:iCs w:val="0"/>
                <w:color w:val="auto"/>
                <w:kern w:val="0"/>
                <w:sz w:val="21"/>
                <w:szCs w:val="21"/>
                <w:u w:val="none"/>
                <w:lang w:val="en-US" w:eastAsia="zh-CN" w:bidi="ar"/>
              </w:rPr>
              <w:t>国产数据库使用是自主研发技术,拥有更高安全性，保障了数据的安全。在稳定性方面:能够确保在各种复杂的网络环境下都能保持高稳定性，保障系统高可用性。</w:t>
            </w:r>
          </w:p>
        </w:tc>
        <w:tc>
          <w:tcPr>
            <w:tcW w:w="7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nil"/>
              <w:left w:val="single" w:color="000000" w:sz="8" w:space="0"/>
              <w:bottom w:val="single" w:color="000000" w:sz="8"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84" w:type="dxa"/>
            <w:vMerge w:val="continue"/>
            <w:tcBorders>
              <w:top w:val="nil"/>
              <w:left w:val="single" w:color="auto" w:sz="4" w:space="0"/>
              <w:bottom w:val="single" w:color="auto" w:sz="4"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vMerge w:val="continue"/>
            <w:tcBorders>
              <w:top w:val="nil"/>
              <w:left w:val="nil"/>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48"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nil"/>
              <w:left w:val="single" w:color="000000" w:sz="8"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9485"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ascii="Times New Roman" w:hAnsi="Times New Roman" w:eastAsia="仿宋" w:cs="Times New Roman"/>
                <w:b/>
                <w:bCs/>
                <w:i w:val="0"/>
                <w:iCs w:val="0"/>
                <w:color w:val="auto"/>
                <w:sz w:val="21"/>
                <w:szCs w:val="21"/>
                <w:u w:val="none"/>
                <w:lang w:eastAsia="zh-CN"/>
              </w:rPr>
            </w:pPr>
            <w:r>
              <w:rPr>
                <w:rFonts w:hint="eastAsia" w:ascii="方正楷体_GBK" w:hAnsi="方正楷体_GBK" w:eastAsia="方正楷体_GBK" w:cs="方正楷体_GBK"/>
                <w:b/>
                <w:bCs/>
                <w:i w:val="0"/>
                <w:iCs w:val="0"/>
                <w:color w:val="auto"/>
                <w:sz w:val="24"/>
                <w:szCs w:val="24"/>
                <w:u w:val="none"/>
                <w:lang w:eastAsia="zh-CN"/>
              </w:rPr>
              <w:t>二、平台国产化改造适配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jc w:val="center"/>
        </w:trPr>
        <w:tc>
          <w:tcPr>
            <w:tcW w:w="784" w:type="dxa"/>
            <w:tcBorders>
              <w:top w:val="single" w:color="auto" w:sz="4" w:space="0"/>
              <w:left w:val="single" w:color="auto" w:sz="4"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1215" w:type="dxa"/>
            <w:tcBorders>
              <w:top w:val="single" w:color="auto" w:sz="4" w:space="0"/>
              <w:left w:val="single" w:color="000000" w:sz="8"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系统架构适配</w:t>
            </w:r>
          </w:p>
        </w:tc>
        <w:tc>
          <w:tcPr>
            <w:tcW w:w="4200" w:type="dxa"/>
            <w:tcBorders>
              <w:top w:val="single" w:color="auto" w:sz="4" w:space="0"/>
              <w:left w:val="single" w:color="auto" w:sz="4"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对B/S架构下应用系统的Web浏览器进行兼容性适配，确保适配国产化环境下的国产浏览器。</w:t>
            </w:r>
          </w:p>
        </w:tc>
        <w:tc>
          <w:tcPr>
            <w:tcW w:w="748" w:type="dxa"/>
            <w:vMerge w:val="restart"/>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项</w:t>
            </w:r>
          </w:p>
        </w:tc>
        <w:tc>
          <w:tcPr>
            <w:tcW w:w="1826" w:type="dxa"/>
            <w:vMerge w:val="restart"/>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确保数据迁移过程业务正常运行。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784"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2</w:t>
            </w:r>
          </w:p>
        </w:tc>
        <w:tc>
          <w:tcPr>
            <w:tcW w:w="1215"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网站系统适配</w:t>
            </w:r>
          </w:p>
        </w:tc>
        <w:tc>
          <w:tcPr>
            <w:tcW w:w="42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通过对网站服务器端Linux操作系统进行适配，确保网站正常流畅运行。</w:t>
            </w:r>
          </w:p>
        </w:tc>
        <w:tc>
          <w:tcPr>
            <w:tcW w:w="74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jc w:val="center"/>
        </w:trPr>
        <w:tc>
          <w:tcPr>
            <w:tcW w:w="78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3</w:t>
            </w:r>
          </w:p>
        </w:tc>
        <w:tc>
          <w:tcPr>
            <w:tcW w:w="1215"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数据库适配</w:t>
            </w:r>
          </w:p>
        </w:tc>
        <w:tc>
          <w:tcPr>
            <w:tcW w:w="42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通过对Orcal数据库数据整理策略、数据转换进行适配，确保数据迁移过程，数据不丢，业务不断正常运行。</w:t>
            </w:r>
          </w:p>
        </w:tc>
        <w:tc>
          <w:tcPr>
            <w:tcW w:w="748"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9485" w:type="dxa"/>
            <w:gridSpan w:val="6"/>
            <w:tcBorders>
              <w:top w:val="nil"/>
              <w:left w:val="single" w:color="000000" w:sz="8" w:space="0"/>
              <w:bottom w:val="single" w:color="000000" w:sz="8" w:space="0"/>
              <w:right w:val="single" w:color="000000" w:sz="8" w:space="0"/>
            </w:tcBorders>
            <w:shd w:val="clear" w:color="auto" w:fill="FFFFFF"/>
            <w:noWrap w:val="0"/>
            <w:vAlign w:val="center"/>
          </w:tcPr>
          <w:p>
            <w:pPr>
              <w:jc w:val="center"/>
              <w:rPr>
                <w:rFonts w:hint="eastAsia" w:ascii="Times New Roman" w:hAnsi="Times New Roman" w:eastAsia="仿宋" w:cs="Times New Roman"/>
                <w:b/>
                <w:bCs/>
                <w:i w:val="0"/>
                <w:iCs w:val="0"/>
                <w:color w:val="auto"/>
                <w:sz w:val="21"/>
                <w:szCs w:val="21"/>
                <w:u w:val="none"/>
                <w:lang w:eastAsia="zh-CN"/>
              </w:rPr>
            </w:pPr>
            <w:r>
              <w:rPr>
                <w:rFonts w:hint="eastAsia" w:ascii="方正楷体_GBK" w:hAnsi="方正楷体_GBK" w:eastAsia="方正楷体_GBK" w:cs="方正楷体_GBK"/>
                <w:b/>
                <w:bCs/>
                <w:i w:val="0"/>
                <w:iCs w:val="0"/>
                <w:color w:val="auto"/>
                <w:sz w:val="24"/>
                <w:szCs w:val="24"/>
                <w:u w:val="none"/>
                <w:lang w:eastAsia="zh-CN"/>
              </w:rPr>
              <w:t>三、重点应用系统升级改造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行政权利信息归集共享系统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color w:val="auto"/>
                <w:kern w:val="2"/>
                <w:sz w:val="21"/>
                <w:szCs w:val="21"/>
                <w:u w:val="none"/>
                <w:lang w:val="en-US" w:eastAsia="zh-CN" w:bidi="ar"/>
              </w:rPr>
            </w:pPr>
            <w:r>
              <w:rPr>
                <w:rStyle w:val="6"/>
                <w:rFonts w:hint="default" w:ascii="Times New Roman" w:hAnsi="Times New Roman" w:cs="Times New Roman"/>
                <w:color w:val="auto"/>
                <w:lang w:val="en-US" w:eastAsia="zh-CN" w:bidi="ar"/>
              </w:rPr>
              <w:t>数据采集</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0"/>
              </w:numPr>
              <w:suppressLineNumbers w:val="0"/>
              <w:ind w:leftChars="0"/>
              <w:jc w:val="both"/>
              <w:textAlignment w:val="center"/>
              <w:rPr>
                <w:rFonts w:hint="default" w:ascii="Times New Roman" w:hAnsi="Times New Roman" w:eastAsia="仿宋" w:cs="Times New Roman"/>
                <w:b/>
                <w:bCs/>
                <w:i w:val="0"/>
                <w:iCs w:val="0"/>
                <w:color w:val="auto"/>
                <w:sz w:val="21"/>
                <w:szCs w:val="21"/>
                <w:u w:val="none"/>
                <w:lang w:val="en-US"/>
              </w:rPr>
            </w:pPr>
            <w:r>
              <w:rPr>
                <w:rStyle w:val="6"/>
                <w:rFonts w:hint="default" w:ascii="Times New Roman" w:hAnsi="Times New Roman" w:cs="Times New Roman"/>
                <w:color w:val="auto"/>
                <w:lang w:val="en-US" w:eastAsia="zh-CN" w:bidi="ar"/>
              </w:rPr>
              <w:t>确保行政许可和行政许可“双公示”和行政强制、行政奖励、行政确认、行政裁决和行政监督检查五类信用信息数据归集共享。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数据审核管理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信息查询及展示</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辅助填报</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信用系统联动</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数据质量分析</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2</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特定信用信息归集共享系统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涉企纳税信息</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0"/>
              </w:numPr>
              <w:suppressLineNumbers w:val="0"/>
              <w:ind w:leftChars="0"/>
              <w:jc w:val="both"/>
              <w:textAlignment w:val="center"/>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lang w:val="en-US" w:eastAsia="zh-CN" w:bidi="ar"/>
              </w:rPr>
              <w:t>确保纳税、水、电、不动产、燃气费、科技研发6类特定信用信息数据归集共享。</w:t>
            </w:r>
          </w:p>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784" w:type="dxa"/>
            <w:vMerge w:val="continue"/>
            <w:tcBorders>
              <w:top w:val="single" w:color="auto" w:sz="4" w:space="0"/>
              <w:left w:val="single" w:color="auto" w:sz="4" w:space="0"/>
              <w:bottom w:val="single" w:color="000000" w:sz="8"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nil"/>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生态环境领域信息</w:t>
            </w:r>
          </w:p>
        </w:tc>
        <w:tc>
          <w:tcPr>
            <w:tcW w:w="748"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784" w:type="dxa"/>
            <w:vMerge w:val="continue"/>
            <w:tcBorders>
              <w:top w:val="nil"/>
              <w:left w:val="single" w:color="auto" w:sz="4" w:space="0"/>
              <w:bottom w:val="single" w:color="000000" w:sz="8"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nil"/>
              <w:left w:val="single" w:color="auto" w:sz="4" w:space="0"/>
              <w:bottom w:val="nil"/>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不动产信息</w:t>
            </w:r>
          </w:p>
        </w:tc>
        <w:tc>
          <w:tcPr>
            <w:tcW w:w="7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000000" w:sz="8"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nil"/>
              <w:left w:val="single" w:color="auto" w:sz="4" w:space="0"/>
              <w:bottom w:val="nil"/>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行政强制信息</w:t>
            </w:r>
          </w:p>
        </w:tc>
        <w:tc>
          <w:tcPr>
            <w:tcW w:w="7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784" w:type="dxa"/>
            <w:vMerge w:val="continue"/>
            <w:tcBorders>
              <w:top w:val="nil"/>
              <w:left w:val="single" w:color="auto" w:sz="4" w:space="0"/>
              <w:bottom w:val="single" w:color="000000" w:sz="8"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nil"/>
              <w:left w:val="single" w:color="auto" w:sz="4" w:space="0"/>
              <w:bottom w:val="nil"/>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水电气费缴纳信息</w:t>
            </w:r>
          </w:p>
        </w:tc>
        <w:tc>
          <w:tcPr>
            <w:tcW w:w="7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nil"/>
              <w:left w:val="single" w:color="auto" w:sz="4" w:space="0"/>
              <w:bottom w:val="single" w:color="auto" w:sz="4" w:space="0"/>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科研研发信息</w:t>
            </w:r>
          </w:p>
        </w:tc>
        <w:tc>
          <w:tcPr>
            <w:tcW w:w="748"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784" w:type="dxa"/>
            <w:tcBorders>
              <w:top w:val="nil"/>
              <w:left w:val="single" w:color="000000" w:sz="8" w:space="0"/>
              <w:bottom w:val="single" w:color="auto" w:sz="4" w:space="0"/>
              <w:right w:val="single" w:color="auto" w:sz="4" w:space="0"/>
            </w:tcBorders>
            <w:shd w:val="clear" w:color="auto" w:fill="FFFFFF"/>
            <w:noWrap w:val="0"/>
            <w:vAlign w:val="center"/>
          </w:tcPr>
          <w:p>
            <w:pPr>
              <w:widowControl/>
              <w:ind w:firstLine="0" w:firstLineChars="0"/>
              <w:jc w:val="center"/>
              <w:textAlignment w:val="center"/>
              <w:rPr>
                <w:rStyle w:val="6"/>
                <w:rFonts w:hint="default" w:ascii="Times New Roman" w:hAnsi="Times New Roman" w:cs="Times New Roman"/>
                <w:color w:val="auto"/>
                <w:lang w:bidi="ar"/>
              </w:rPr>
            </w:pPr>
            <w:r>
              <w:rPr>
                <w:rStyle w:val="6"/>
                <w:rFonts w:hint="default" w:ascii="Times New Roman" w:hAnsi="Times New Roman" w:cs="Times New Roman"/>
                <w:color w:val="auto"/>
                <w:lang w:bidi="ar"/>
              </w:rPr>
              <w:t>3</w:t>
            </w:r>
          </w:p>
        </w:tc>
        <w:tc>
          <w:tcPr>
            <w:tcW w:w="1215" w:type="dxa"/>
            <w:tcBorders>
              <w:top w:val="nil"/>
              <w:left w:val="single" w:color="auto" w:sz="4" w:space="0"/>
              <w:bottom w:val="single" w:color="auto" w:sz="4" w:space="0"/>
              <w:right w:val="nil"/>
            </w:tcBorders>
            <w:shd w:val="clear" w:color="auto" w:fill="FFFFFF"/>
            <w:noWrap w:val="0"/>
            <w:vAlign w:val="center"/>
          </w:tcPr>
          <w:p>
            <w:pPr>
              <w:keepNext w:val="0"/>
              <w:keepLines w:val="0"/>
              <w:widowControl/>
              <w:ind w:firstLine="0" w:firstLineChars="0"/>
              <w:textAlignment w:val="center"/>
              <w:rPr>
                <w:rStyle w:val="6"/>
                <w:rFonts w:hint="default" w:ascii="Times New Roman" w:hAnsi="Times New Roman" w:cs="Times New Roman"/>
                <w:color w:val="auto"/>
                <w:lang w:bidi="ar"/>
              </w:rPr>
            </w:pPr>
            <w:r>
              <w:rPr>
                <w:rStyle w:val="6"/>
                <w:rFonts w:hint="default" w:ascii="Times New Roman" w:hAnsi="Times New Roman" w:cs="Times New Roman"/>
                <w:color w:val="auto"/>
                <w:lang w:bidi="ar"/>
              </w:rPr>
              <w:t>信用数据归集核查系统</w:t>
            </w:r>
          </w:p>
          <w:p>
            <w:pPr>
              <w:widowControl/>
              <w:ind w:firstLine="0" w:firstLineChars="0"/>
              <w:jc w:val="both"/>
              <w:textAlignment w:val="center"/>
              <w:rPr>
                <w:rStyle w:val="6"/>
                <w:rFonts w:hint="default" w:ascii="Times New Roman" w:hAnsi="Times New Roman" w:cs="Times New Roman"/>
                <w:color w:val="auto"/>
                <w:lang w:bidi="ar"/>
              </w:rPr>
            </w:pPr>
          </w:p>
        </w:tc>
        <w:tc>
          <w:tcPr>
            <w:tcW w:w="4200"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spacing w:line="240" w:lineRule="auto"/>
              <w:ind w:left="0" w:leftChars="0" w:firstLine="0" w:firstLineChars="0"/>
              <w:jc w:val="both"/>
              <w:textAlignment w:val="center"/>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lang w:bidi="ar"/>
              </w:rPr>
              <w:t>按照四川省公共信用信息细目的要求，建立数据归集核查系统，对归集在原始库的信用数据进行数据质量核查， 完成归集目录覆盖率、数据量、数据质量、数据及时性等统计，每月形成《数据核查报告》。</w:t>
            </w:r>
          </w:p>
        </w:tc>
        <w:tc>
          <w:tcPr>
            <w:tcW w:w="748" w:type="dxa"/>
            <w:tcBorders>
              <w:top w:val="nil"/>
              <w:left w:val="single" w:color="000000" w:sz="8" w:space="0"/>
              <w:bottom w:val="single" w:color="auto" w:sz="4" w:space="0"/>
              <w:right w:val="single" w:color="000000" w:sz="8" w:space="0"/>
            </w:tcBorders>
            <w:shd w:val="clear" w:color="auto" w:fill="FFFFFF"/>
            <w:noWrap w:val="0"/>
            <w:vAlign w:val="center"/>
          </w:tcPr>
          <w:p>
            <w:pPr>
              <w:widowControl/>
              <w:ind w:firstLine="0" w:firstLineChars="0"/>
              <w:jc w:val="center"/>
              <w:textAlignment w:val="center"/>
              <w:rPr>
                <w:rStyle w:val="6"/>
                <w:rFonts w:hint="default" w:ascii="Times New Roman" w:hAnsi="Times New Roman" w:cs="Times New Roman"/>
                <w:color w:val="auto"/>
                <w:lang w:bidi="ar"/>
              </w:rPr>
            </w:pPr>
            <w:r>
              <w:rPr>
                <w:rStyle w:val="6"/>
                <w:rFonts w:hint="default" w:ascii="Times New Roman" w:hAnsi="Times New Roman" w:cs="Times New Roman"/>
                <w:color w:val="auto"/>
                <w:lang w:bidi="ar"/>
              </w:rPr>
              <w:t>1</w:t>
            </w:r>
          </w:p>
        </w:tc>
        <w:tc>
          <w:tcPr>
            <w:tcW w:w="712" w:type="dxa"/>
            <w:tcBorders>
              <w:top w:val="nil"/>
              <w:left w:val="single" w:color="000000" w:sz="8" w:space="0"/>
              <w:bottom w:val="single" w:color="auto" w:sz="4" w:space="0"/>
              <w:right w:val="single" w:color="000000" w:sz="8" w:space="0"/>
            </w:tcBorders>
            <w:shd w:val="clear" w:color="auto" w:fill="FFFFFF"/>
            <w:noWrap w:val="0"/>
            <w:vAlign w:val="center"/>
          </w:tcPr>
          <w:p>
            <w:pPr>
              <w:widowControl/>
              <w:ind w:firstLine="0" w:firstLineChars="0"/>
              <w:jc w:val="center"/>
              <w:textAlignment w:val="center"/>
              <w:rPr>
                <w:rStyle w:val="6"/>
                <w:rFonts w:hint="default" w:ascii="Times New Roman" w:hAnsi="Times New Roman" w:cs="Times New Roman"/>
                <w:color w:val="auto"/>
                <w:lang w:bidi="ar"/>
              </w:rPr>
            </w:pPr>
            <w:r>
              <w:rPr>
                <w:rStyle w:val="6"/>
                <w:rFonts w:hint="default" w:ascii="Times New Roman" w:hAnsi="Times New Roman" w:cs="Times New Roman"/>
                <w:color w:val="auto"/>
                <w:lang w:bidi="ar"/>
              </w:rPr>
              <w:t>套</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ind w:firstLine="0" w:firstLineChars="0"/>
              <w:jc w:val="both"/>
              <w:textAlignment w:val="center"/>
              <w:rPr>
                <w:rStyle w:val="6"/>
                <w:rFonts w:hint="default" w:ascii="Times New Roman" w:hAnsi="Times New Roman" w:cs="Times New Roman"/>
                <w:color w:val="auto"/>
                <w:lang w:bidi="ar"/>
              </w:rPr>
            </w:pPr>
            <w:r>
              <w:rPr>
                <w:rStyle w:val="6"/>
                <w:rFonts w:hint="default" w:ascii="Times New Roman" w:hAnsi="Times New Roman" w:cs="Times New Roman"/>
                <w:color w:val="auto"/>
                <w:lang w:bidi="ar"/>
              </w:rPr>
              <w:t>对信用数据进行数据质量核查，每月形成《数据核查报告》。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4</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信用承诺管理系统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违反承诺记录</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numPr>
                <w:ilvl w:val="0"/>
                <w:numId w:val="0"/>
              </w:numPr>
              <w:suppressLineNumbers w:val="0"/>
              <w:ind w:leftChars="0"/>
              <w:jc w:val="both"/>
              <w:textAlignment w:val="center"/>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lang w:val="en-US" w:eastAsia="zh-CN" w:bidi="ar"/>
              </w:rPr>
              <w:t>确保各类信用承诺归集、公示和践诺监管。</w:t>
            </w:r>
          </w:p>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84" w:type="dxa"/>
            <w:vMerge w:val="continue"/>
            <w:tcBorders>
              <w:top w:val="single" w:color="auto" w:sz="4" w:space="0"/>
              <w:left w:val="single" w:color="auto" w:sz="4"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000000" w:sz="8" w:space="0"/>
              <w:bottom w:val="single" w:color="000000" w:sz="8" w:space="0"/>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信用承诺质疑</w:t>
            </w:r>
          </w:p>
        </w:tc>
        <w:tc>
          <w:tcPr>
            <w:tcW w:w="748"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000000" w:sz="8" w:space="0"/>
              <w:bottom w:val="single" w:color="000000" w:sz="8"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000000" w:sz="8"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784" w:type="dxa"/>
            <w:vMerge w:val="continue"/>
            <w:tcBorders>
              <w:top w:val="nil"/>
              <w:left w:val="single" w:color="auto" w:sz="4"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000000" w:sz="8" w:space="0"/>
              <w:left w:val="single" w:color="000000" w:sz="8" w:space="0"/>
              <w:bottom w:val="single" w:color="000000" w:sz="8" w:space="0"/>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承诺质疑处理与反馈</w:t>
            </w:r>
          </w:p>
        </w:tc>
        <w:tc>
          <w:tcPr>
            <w:tcW w:w="748" w:type="dxa"/>
            <w:vMerge w:val="continue"/>
            <w:tcBorders>
              <w:top w:val="nil"/>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000000" w:sz="8"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000000" w:sz="8"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84" w:type="dxa"/>
            <w:vMerge w:val="continue"/>
            <w:tcBorders>
              <w:top w:val="nil"/>
              <w:left w:val="single" w:color="auto" w:sz="4" w:space="0"/>
              <w:bottom w:val="single" w:color="auto" w:sz="4"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000000" w:sz="8" w:space="0"/>
              <w:left w:val="single" w:color="000000" w:sz="8" w:space="0"/>
              <w:bottom w:val="single" w:color="auto" w:sz="4" w:space="0"/>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信用承诺统计分析</w:t>
            </w:r>
          </w:p>
        </w:tc>
        <w:tc>
          <w:tcPr>
            <w:tcW w:w="748"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000000" w:sz="8"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5</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联合奖惩系统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措施清单管理</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both"/>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sz w:val="21"/>
                <w:szCs w:val="21"/>
                <w:u w:val="none"/>
              </w:rPr>
              <w:t>形成多地区、多部门、多领域的守信联合激励和失信联合惩戒机制，构建“政府、市场、行业、社会”四方共同治理</w:t>
            </w:r>
            <w:r>
              <w:rPr>
                <w:rFonts w:hint="default" w:ascii="Times New Roman" w:hAnsi="Times New Roman" w:cs="Times New Roman"/>
                <w:b/>
                <w:bCs/>
                <w:i w:val="0"/>
                <w:iCs w:val="0"/>
                <w:color w:val="auto"/>
                <w:sz w:val="21"/>
                <w:szCs w:val="21"/>
                <w:u w:val="none"/>
                <w:lang w:eastAsia="zh-CN"/>
              </w:rPr>
              <w:t>新</w:t>
            </w:r>
            <w:r>
              <w:rPr>
                <w:rFonts w:hint="default" w:ascii="Times New Roman" w:hAnsi="Times New Roman" w:eastAsia="仿宋" w:cs="Times New Roman"/>
                <w:b/>
                <w:bCs/>
                <w:i w:val="0"/>
                <w:iCs w:val="0"/>
                <w:color w:val="auto"/>
                <w:sz w:val="21"/>
                <w:szCs w:val="21"/>
                <w:u w:val="none"/>
              </w:rPr>
              <w:t>格局。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名单类型管理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奖惩对象管理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协同执行</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奖惩结果反馈</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考核督办</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数据追溯管理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日志管理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接口对接</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6</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政务诚信评价支撑系统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政务诚信评价指标管理</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新增模块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政务诚信评价管理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政务诚信评价问卷管理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政务诚信评价审核管理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政务诚信评价报告管理</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政务诚信评价统计分析</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7</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企业公共信用综合评价系统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模型管理</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新增模块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评价计算</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结果查询</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信用二维码</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8</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大数据监测预警系统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信用监测</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双屡监测</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信用辅助分析</w:t>
            </w:r>
          </w:p>
        </w:tc>
        <w:tc>
          <w:tcPr>
            <w:tcW w:w="7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9</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大数据监测可视化系统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总体概览</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78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数据归集展示</w:t>
            </w:r>
          </w:p>
        </w:tc>
        <w:tc>
          <w:tcPr>
            <w:tcW w:w="748"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nil"/>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9485"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r>
              <w:rPr>
                <w:rFonts w:hint="eastAsia" w:ascii="方正楷体_GBK" w:hAnsi="方正楷体_GBK" w:eastAsia="方正楷体_GBK" w:cs="方正楷体_GBK"/>
                <w:b/>
                <w:bCs/>
                <w:i w:val="0"/>
                <w:iCs w:val="0"/>
                <w:color w:val="auto"/>
                <w:kern w:val="0"/>
                <w:sz w:val="24"/>
                <w:szCs w:val="24"/>
                <w:u w:val="none"/>
                <w:lang w:val="en-US" w:eastAsia="zh-CN" w:bidi="ar"/>
              </w:rPr>
              <w:t>四、“信易+”应用系统建设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121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“信易贷”（达州站）</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Style w:val="6"/>
                <w:rFonts w:hint="default" w:ascii="Times New Roman" w:hAnsi="Times New Roman" w:cs="Times New Roman"/>
                <w:color w:val="auto"/>
                <w:kern w:val="2"/>
                <w:highlight w:val="none"/>
                <w:lang w:val="en-US" w:eastAsia="zh-CN" w:bidi="ar"/>
              </w:rPr>
            </w:pPr>
            <w:r>
              <w:rPr>
                <w:rStyle w:val="6"/>
                <w:rFonts w:hint="default" w:ascii="Times New Roman" w:hAnsi="Times New Roman" w:cs="Times New Roman"/>
                <w:color w:val="auto"/>
                <w:kern w:val="2"/>
                <w:highlight w:val="none"/>
                <w:lang w:val="en-US" w:eastAsia="zh-CN" w:bidi="ar"/>
              </w:rPr>
              <w:t>与市社会信用信息平台对接</w:t>
            </w:r>
          </w:p>
        </w:tc>
        <w:tc>
          <w:tcPr>
            <w:tcW w:w="7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84" w:type="dxa"/>
            <w:vMerge w:val="continue"/>
            <w:tcBorders>
              <w:top w:val="single" w:color="auto" w:sz="4" w:space="0"/>
              <w:left w:val="single" w:color="auto" w:sz="4" w:space="0"/>
              <w:bottom w:val="single" w:color="000000" w:sz="8"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single" w:color="auto" w:sz="4" w:space="0"/>
              <w:left w:val="single" w:color="000000" w:sz="8" w:space="0"/>
              <w:bottom w:val="single" w:color="000000" w:sz="8" w:space="0"/>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highlight w:val="none"/>
                <w:u w:val="none"/>
              </w:rPr>
            </w:pPr>
          </w:p>
        </w:tc>
        <w:tc>
          <w:tcPr>
            <w:tcW w:w="4200" w:type="dxa"/>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Style w:val="6"/>
                <w:rFonts w:hint="default" w:ascii="Times New Roman" w:hAnsi="Times New Roman" w:cs="Times New Roman"/>
                <w:color w:val="auto"/>
                <w:kern w:val="2"/>
                <w:highlight w:val="none"/>
                <w:lang w:val="en-US" w:eastAsia="zh-CN" w:bidi="ar"/>
              </w:rPr>
            </w:pPr>
            <w:r>
              <w:rPr>
                <w:rStyle w:val="6"/>
                <w:rFonts w:hint="default" w:ascii="Times New Roman" w:hAnsi="Times New Roman" w:cs="Times New Roman"/>
                <w:color w:val="auto"/>
                <w:kern w:val="2"/>
                <w:highlight w:val="none"/>
                <w:lang w:val="en-US" w:eastAsia="zh-CN" w:bidi="ar"/>
              </w:rPr>
              <w:t>与市政务信息共享平台对接</w:t>
            </w:r>
          </w:p>
        </w:tc>
        <w:tc>
          <w:tcPr>
            <w:tcW w:w="748"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single" w:color="auto" w:sz="4"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single" w:color="auto" w:sz="4" w:space="0"/>
              <w:left w:val="single" w:color="000000" w:sz="8" w:space="0"/>
              <w:bottom w:val="single" w:color="000000" w:sz="8"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84" w:type="dxa"/>
            <w:vMerge w:val="continue"/>
            <w:tcBorders>
              <w:top w:val="nil"/>
              <w:left w:val="single" w:color="auto" w:sz="4" w:space="0"/>
              <w:bottom w:val="single" w:color="auto" w:sz="4" w:space="0"/>
              <w:right w:val="single" w:color="000000" w:sz="8" w:space="0"/>
            </w:tcBorders>
            <w:shd w:val="clear" w:color="auto" w:fill="FFFFFF"/>
            <w:noWrap w:val="0"/>
            <w:vAlign w:val="center"/>
          </w:tcPr>
          <w:p>
            <w:pPr>
              <w:jc w:val="center"/>
              <w:rPr>
                <w:rFonts w:hint="default" w:ascii="Times New Roman" w:hAnsi="Times New Roman" w:eastAsia="仿宋" w:cs="Times New Roman"/>
                <w:b/>
                <w:bCs/>
                <w:i w:val="0"/>
                <w:iCs w:val="0"/>
                <w:color w:val="auto"/>
                <w:sz w:val="21"/>
                <w:szCs w:val="21"/>
                <w:u w:val="none"/>
              </w:rPr>
            </w:pPr>
          </w:p>
        </w:tc>
        <w:tc>
          <w:tcPr>
            <w:tcW w:w="1215" w:type="dxa"/>
            <w:vMerge w:val="continue"/>
            <w:tcBorders>
              <w:top w:val="nil"/>
              <w:left w:val="single" w:color="000000" w:sz="8" w:space="0"/>
              <w:bottom w:val="single" w:color="auto" w:sz="4" w:space="0"/>
              <w:right w:val="nil"/>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4200" w:type="dxa"/>
            <w:tcBorders>
              <w:top w:val="nil"/>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kern w:val="2"/>
                <w:lang w:val="en-US" w:eastAsia="zh-CN" w:bidi="ar"/>
              </w:rPr>
              <w:t>深化与省级节点对接</w:t>
            </w:r>
          </w:p>
        </w:tc>
        <w:tc>
          <w:tcPr>
            <w:tcW w:w="748"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712" w:type="dxa"/>
            <w:vMerge w:val="continue"/>
            <w:tcBorders>
              <w:top w:val="nil"/>
              <w:left w:val="single" w:color="000000" w:sz="8" w:space="0"/>
              <w:bottom w:val="single" w:color="auto" w:sz="4"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c>
          <w:tcPr>
            <w:tcW w:w="1826" w:type="dxa"/>
            <w:vMerge w:val="continue"/>
            <w:tcBorders>
              <w:top w:val="nil"/>
              <w:left w:val="single" w:color="000000" w:sz="8"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2</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“信易批”应用</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结合达州实际情况，对接各行政审批单位，共同推动“信易批”应用场景落地。</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3</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其他“信易+”应用系统接口</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确保其他第三方信易+应用系统对接，提供信易+场景服务接口管理。</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升级改造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jc w:val="center"/>
        </w:trPr>
        <w:tc>
          <w:tcPr>
            <w:tcW w:w="9485"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Style w:val="6"/>
                <w:rFonts w:hint="default" w:ascii="Times New Roman" w:hAnsi="Times New Roman" w:cs="Times New Roman"/>
                <w:color w:val="auto"/>
                <w:lang w:val="en-US" w:eastAsia="zh-CN" w:bidi="ar"/>
              </w:rPr>
            </w:pPr>
            <w:r>
              <w:rPr>
                <w:rFonts w:hint="eastAsia" w:ascii="方正楷体_GBK" w:hAnsi="方正楷体_GBK" w:eastAsia="方正楷体_GBK" w:cs="方正楷体_GBK"/>
                <w:b/>
                <w:bCs/>
                <w:i w:val="0"/>
                <w:iCs w:val="0"/>
                <w:color w:val="auto"/>
                <w:kern w:val="0"/>
                <w:sz w:val="24"/>
                <w:szCs w:val="24"/>
                <w:u w:val="none"/>
                <w:lang w:val="en-US" w:eastAsia="zh-CN" w:bidi="ar"/>
              </w:rPr>
              <w:t>五、信用系统运维服务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8"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平台运维服务</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0" w:firstLineChars="0"/>
              <w:rPr>
                <w:rFonts w:hint="default" w:ascii="Times New Roman" w:hAnsi="Times New Roman" w:eastAsia="仿宋" w:cs="Times New Roman"/>
                <w:b/>
                <w:bCs/>
                <w:i w:val="0"/>
                <w:iCs w:val="0"/>
                <w:color w:val="auto"/>
                <w:sz w:val="21"/>
                <w:szCs w:val="21"/>
                <w:u w:val="none"/>
                <w:lang w:val="en-US"/>
              </w:rPr>
            </w:pPr>
            <w:r>
              <w:rPr>
                <w:rFonts w:hint="default" w:ascii="Times New Roman" w:hAnsi="Times New Roman" w:eastAsia="仿宋" w:cs="Times New Roman"/>
                <w:b/>
                <w:bCs/>
                <w:i w:val="0"/>
                <w:iCs w:val="0"/>
                <w:color w:val="auto"/>
                <w:kern w:val="0"/>
                <w:sz w:val="21"/>
                <w:szCs w:val="21"/>
                <w:u w:val="none"/>
                <w:lang w:val="en-US" w:eastAsia="zh-CN" w:bidi="ar"/>
              </w:rPr>
              <w:t>保障达州市社会信用信息平台正常运行。1.数据运维：每日对全市各级各部门、7个区市县和达州高新区、达州东部经开区日常产生上报的各类公共信用信息，按照国</w:t>
            </w:r>
            <w:r>
              <w:rPr>
                <w:rFonts w:hint="default" w:ascii="Times New Roman" w:hAnsi="Times New Roman" w:cs="Times New Roman"/>
                <w:b/>
                <w:bCs/>
                <w:i w:val="0"/>
                <w:iCs w:val="0"/>
                <w:color w:val="auto"/>
                <w:kern w:val="0"/>
                <w:sz w:val="21"/>
                <w:szCs w:val="21"/>
                <w:u w:val="none"/>
                <w:lang w:val="en-US" w:eastAsia="zh-CN" w:bidi="ar"/>
              </w:rPr>
              <w:t>、</w:t>
            </w:r>
            <w:r>
              <w:rPr>
                <w:rFonts w:hint="default" w:ascii="Times New Roman" w:hAnsi="Times New Roman" w:eastAsia="仿宋" w:cs="Times New Roman"/>
                <w:b/>
                <w:bCs/>
                <w:i w:val="0"/>
                <w:iCs w:val="0"/>
                <w:color w:val="auto"/>
                <w:kern w:val="0"/>
                <w:sz w:val="21"/>
                <w:szCs w:val="21"/>
                <w:u w:val="none"/>
                <w:lang w:val="en-US" w:eastAsia="zh-CN" w:bidi="ar"/>
              </w:rPr>
              <w:t>省标准进行人工审核并清洗入</w:t>
            </w:r>
            <w:r>
              <w:rPr>
                <w:rStyle w:val="8"/>
                <w:rFonts w:hint="default" w:ascii="Times New Roman" w:hAnsi="Times New Roman" w:cs="Times New Roman"/>
                <w:color w:val="auto"/>
                <w:lang w:val="en-US" w:eastAsia="zh-CN" w:bidi="ar"/>
              </w:rPr>
              <w:t>库；</w:t>
            </w:r>
            <w:r>
              <w:rPr>
                <w:rFonts w:hint="default" w:ascii="Times New Roman" w:hAnsi="Times New Roman" w:eastAsia="仿宋" w:cs="Times New Roman"/>
                <w:b/>
                <w:bCs/>
                <w:i w:val="0"/>
                <w:iCs w:val="0"/>
                <w:color w:val="auto"/>
                <w:kern w:val="0"/>
                <w:sz w:val="21"/>
                <w:szCs w:val="21"/>
                <w:u w:val="none"/>
                <w:lang w:val="en-US" w:eastAsia="zh-CN" w:bidi="ar"/>
              </w:rPr>
              <w:t>编制《2024年度达州市市级公共信用信息目录》；与市级数源部门（单位）在服务期限内至少完成2轮全覆盖对接</w:t>
            </w:r>
            <w:r>
              <w:rPr>
                <w:rFonts w:hint="default" w:ascii="Times New Roman" w:hAnsi="Times New Roman" w:eastAsia="仿宋" w:cs="Times New Roman"/>
                <w:b/>
                <w:bCs/>
                <w:i w:val="0"/>
                <w:iCs w:val="0"/>
                <w:color w:val="auto"/>
                <w:kern w:val="0"/>
                <w:sz w:val="21"/>
                <w:szCs w:val="21"/>
                <w:highlight w:val="none"/>
                <w:u w:val="none"/>
                <w:lang w:val="en-US" w:eastAsia="zh-CN" w:bidi="ar"/>
              </w:rPr>
              <w:t>，力争2</w:t>
            </w:r>
            <w:r>
              <w:rPr>
                <w:rFonts w:hint="default" w:ascii="Times New Roman" w:hAnsi="Times New Roman" w:eastAsia="仿宋" w:cs="Times New Roman"/>
                <w:b/>
                <w:bCs/>
                <w:i w:val="0"/>
                <w:iCs w:val="0"/>
                <w:color w:val="auto"/>
                <w:kern w:val="0"/>
                <w:sz w:val="21"/>
                <w:szCs w:val="21"/>
                <w:u w:val="none"/>
                <w:lang w:val="en-US" w:eastAsia="zh-CN" w:bidi="ar"/>
              </w:rPr>
              <w:t>024年底平台信用原始数据达到5亿条；每月汇总形成《数据运维服务报告》；支持至少2个有条件的地方开展信用应用示范试点。</w:t>
            </w:r>
            <w:r>
              <w:rPr>
                <w:rStyle w:val="8"/>
                <w:rFonts w:hint="default" w:ascii="Times New Roman" w:hAnsi="Times New Roman" w:cs="Times New Roman"/>
                <w:color w:val="auto"/>
                <w:lang w:val="en-US" w:eastAsia="zh-CN" w:bidi="ar"/>
              </w:rPr>
              <w:t>2.数据共享开放：</w:t>
            </w:r>
            <w:r>
              <w:rPr>
                <w:rFonts w:hint="default" w:ascii="Times New Roman" w:hAnsi="Times New Roman" w:eastAsia="仿宋" w:cs="Times New Roman"/>
                <w:b/>
                <w:bCs/>
                <w:i w:val="0"/>
                <w:iCs w:val="0"/>
                <w:color w:val="auto"/>
                <w:kern w:val="0"/>
                <w:sz w:val="21"/>
                <w:szCs w:val="21"/>
                <w:u w:val="none"/>
                <w:lang w:val="en-US" w:eastAsia="zh-CN" w:bidi="ar"/>
              </w:rPr>
              <w:t>按照国省市要求，及时在市政务信息共享平台发布相关数据资源，持续提升共享开放目录数量和质量；同时，不定时从市政务信息共享平台提取省上或其他部门共享的数据资源并进行数据整理，每月汇总提交《数据共享开放总结报告》。</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年</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供应商需设立专门的项目组，承诺为本项目提供不少于3人驻场服务。项目人员须接受采购单位的日常管理及考核。未经采购人同意，不得随意更换驻场人员。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784"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2</w:t>
            </w:r>
          </w:p>
        </w:tc>
        <w:tc>
          <w:tcPr>
            <w:tcW w:w="1215"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网站日常运维服务</w:t>
            </w:r>
          </w:p>
        </w:tc>
        <w:tc>
          <w:tcPr>
            <w:tcW w:w="4200"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保障信用中国（四川达州）日常正常运行。1.日常监测：网站监测、存储巡查、流量监测、相关日志分析和告警解决。2.网站升级改版：排版自动化部署工具、网站安全配置和栏目配置管理。3.常规工作：内容发布、交流互动、申诉答疑及参加全省观摩会。4.周期性工作：不定期同研发人员对信用中国（四川达州）进行测试、修复网站BUG。每月提交《日常运维服务报告》。</w:t>
            </w:r>
          </w:p>
        </w:tc>
        <w:tc>
          <w:tcPr>
            <w:tcW w:w="748"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年</w:t>
            </w:r>
          </w:p>
        </w:tc>
        <w:tc>
          <w:tcPr>
            <w:tcW w:w="1826" w:type="dxa"/>
            <w:tcBorders>
              <w:top w:val="single" w:color="auto" w:sz="4" w:space="0"/>
              <w:left w:val="single" w:color="000000" w:sz="8" w:space="0"/>
              <w:bottom w:val="single" w:color="auto" w:sz="4" w:space="0"/>
              <w:right w:val="single" w:color="000000" w:sz="8" w:space="0"/>
            </w:tcBorders>
            <w:shd w:val="clear" w:color="auto" w:fill="FFFFFF"/>
            <w:noWrap w:val="0"/>
            <w:vAlign w:val="center"/>
          </w:tcPr>
          <w:p>
            <w:pPr>
              <w:ind w:left="0" w:leftChars="0" w:firstLine="0" w:firstLineChars="0"/>
              <w:jc w:val="both"/>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sz w:val="21"/>
                <w:szCs w:val="21"/>
                <w:lang w:eastAsia="zh-CN" w:bidi="ar"/>
              </w:rPr>
              <w:t>网站日常运维主体必须具有互联网新闻信息采编发布服务资质。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3</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城市信用监测排名保障服务</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按照国家发展改革委城市信用建设及最新版指标要求，填报数据并按月上报至全国城市信用状况监测评价系统。结合达州市信用排名情况，及时梳理监测指标，细化监测项，分析监测数据、查漏补缺，发布信用工作月报。</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年</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both"/>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确保排名稳定在100名内。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0"/>
                <w:sz w:val="21"/>
                <w:szCs w:val="21"/>
                <w:u w:val="none"/>
                <w:lang w:val="en-US" w:eastAsia="zh-CN" w:bidi="ar"/>
              </w:rPr>
            </w:pPr>
            <w:r>
              <w:rPr>
                <w:rFonts w:hint="default" w:ascii="Times New Roman" w:hAnsi="Times New Roman" w:cs="Times New Roman"/>
                <w:b/>
                <w:bCs/>
                <w:i w:val="0"/>
                <w:iCs w:val="0"/>
                <w:color w:val="auto"/>
                <w:kern w:val="0"/>
                <w:sz w:val="21"/>
                <w:szCs w:val="21"/>
                <w:u w:val="none"/>
                <w:lang w:val="en-US" w:eastAsia="zh-CN" w:bidi="ar"/>
              </w:rPr>
              <w:t>4</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lang w:val="en-US" w:eastAsia="zh-CN" w:bidi="ar"/>
              </w:rPr>
              <w:t>县（市、区）信用监测服务</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lang w:val="en-US" w:eastAsia="zh-CN" w:bidi="ar"/>
              </w:rPr>
              <w:t>根据国家城市信用监测现行指标要求，结合达州实际，提供县（市、区）监测数据标准设计、监测模型指标内容设计、县（市、区）监测分析报告编写、县（市、区）监测培训和解读等服务内容。</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0"/>
                <w:sz w:val="21"/>
                <w:szCs w:val="21"/>
                <w:u w:val="none"/>
                <w:lang w:val="en-US" w:eastAsia="zh-CN" w:bidi="ar"/>
              </w:rPr>
            </w:pPr>
            <w:r>
              <w:rPr>
                <w:rFonts w:hint="default" w:ascii="Times New Roman" w:hAnsi="Times New Roman"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lang w:val="en-US" w:eastAsia="zh-CN" w:bidi="ar"/>
              </w:rPr>
              <w:t xml:space="preserve">年 </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both"/>
              <w:rPr>
                <w:rStyle w:val="6"/>
                <w:rFonts w:hint="default" w:ascii="Times New Roman" w:hAnsi="Times New Roman" w:cs="Times New Roman"/>
                <w:color w:val="auto"/>
                <w:lang w:val="en-US" w:eastAsia="zh-CN" w:bidi="ar"/>
              </w:rPr>
            </w:pPr>
            <w:r>
              <w:rPr>
                <w:rStyle w:val="6"/>
                <w:rFonts w:hint="default" w:ascii="Times New Roman" w:hAnsi="Times New Roman" w:cs="Times New Roman"/>
                <w:color w:val="auto"/>
                <w:lang w:val="en-US" w:eastAsia="zh-CN" w:bidi="ar"/>
              </w:rPr>
              <w:t>持续提升县（市、区）信用管理水平。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cs="Times New Roman"/>
                <w:b/>
                <w:bCs/>
                <w:i w:val="0"/>
                <w:iCs w:val="0"/>
                <w:color w:val="auto"/>
                <w:kern w:val="0"/>
                <w:sz w:val="21"/>
                <w:szCs w:val="21"/>
                <w:u w:val="none"/>
                <w:lang w:val="en-US" w:eastAsia="zh-CN" w:bidi="ar"/>
              </w:rPr>
              <w:t>5</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日常业务支撑</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highlight w:val="none"/>
                <w:u w:val="none"/>
              </w:rPr>
            </w:pPr>
            <w:r>
              <w:rPr>
                <w:rStyle w:val="6"/>
                <w:rFonts w:hint="default" w:ascii="Times New Roman" w:hAnsi="Times New Roman" w:cs="Times New Roman"/>
                <w:color w:val="auto"/>
                <w:highlight w:val="none"/>
                <w:lang w:val="en-US" w:eastAsia="zh-CN" w:bidi="ar"/>
              </w:rPr>
              <w:t>根据国家、省社会信用体系建设相关要求，对标信用示范城市创建指标和城市信用监测指标，为达州市社会信用体系建设提供日常业务保障服务。合同期内</w:t>
            </w:r>
            <w:r>
              <w:rPr>
                <w:rStyle w:val="6"/>
                <w:rFonts w:hint="eastAsia" w:ascii="Times New Roman" w:hAnsi="Times New Roman" w:cs="Times New Roman"/>
                <w:color w:val="auto"/>
                <w:highlight w:val="none"/>
                <w:lang w:val="en-US" w:eastAsia="zh-CN" w:bidi="ar"/>
              </w:rPr>
              <w:t>组织</w:t>
            </w:r>
            <w:r>
              <w:rPr>
                <w:rStyle w:val="6"/>
                <w:rFonts w:hint="default" w:ascii="Times New Roman" w:hAnsi="Times New Roman" w:cs="Times New Roman"/>
                <w:color w:val="auto"/>
                <w:highlight w:val="none"/>
                <w:lang w:val="en-US" w:eastAsia="zh-CN" w:bidi="ar"/>
              </w:rPr>
              <w:t>开展至少</w:t>
            </w:r>
            <w:r>
              <w:rPr>
                <w:rStyle w:val="6"/>
                <w:rFonts w:hint="eastAsia" w:ascii="Times New Roman" w:hAnsi="Times New Roman" w:cs="Times New Roman"/>
                <w:color w:val="auto"/>
                <w:highlight w:val="none"/>
                <w:lang w:val="en-US" w:eastAsia="zh-CN" w:bidi="ar"/>
              </w:rPr>
              <w:t>1</w:t>
            </w:r>
            <w:r>
              <w:rPr>
                <w:rStyle w:val="6"/>
                <w:rFonts w:hint="default" w:ascii="Times New Roman" w:hAnsi="Times New Roman" w:cs="Times New Roman"/>
                <w:color w:val="auto"/>
                <w:highlight w:val="none"/>
                <w:lang w:val="en-US" w:eastAsia="zh-CN" w:bidi="ar"/>
              </w:rPr>
              <w:t>场大型诚信文化宣传活动</w:t>
            </w:r>
            <w:r>
              <w:rPr>
                <w:rStyle w:val="6"/>
                <w:rFonts w:hint="eastAsia" w:ascii="Times New Roman" w:hAnsi="Times New Roman" w:cs="Times New Roman"/>
                <w:color w:val="auto"/>
                <w:highlight w:val="none"/>
                <w:lang w:val="en-US" w:eastAsia="zh-CN" w:bidi="ar"/>
              </w:rPr>
              <w:t>，并提供大型活动所需的人力、物资、设备等保障</w:t>
            </w:r>
            <w:r>
              <w:rPr>
                <w:rStyle w:val="6"/>
                <w:rFonts w:hint="default" w:ascii="Times New Roman" w:hAnsi="Times New Roman" w:cs="Times New Roman"/>
                <w:color w:val="auto"/>
                <w:highlight w:val="none"/>
                <w:lang w:val="en-US" w:eastAsia="zh-CN" w:bidi="ar"/>
              </w:rPr>
              <w:t>。</w:t>
            </w:r>
            <w:r>
              <w:rPr>
                <w:rStyle w:val="6"/>
                <w:rFonts w:hint="default" w:ascii="Times New Roman" w:hAnsi="Times New Roman" w:cs="Times New Roman"/>
                <w:color w:val="auto"/>
                <w:sz w:val="21"/>
                <w:szCs w:val="21"/>
                <w:highlight w:val="none"/>
                <w:lang w:eastAsia="zh-CN" w:bidi="ar"/>
              </w:rPr>
              <w:t>严格按照采购方需求，完成采购人交办的其他相关工作。</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年</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left="0" w:leftChars="0" w:firstLine="0" w:firstLineChars="0"/>
              <w:jc w:val="both"/>
              <w:rPr>
                <w:rFonts w:hint="default" w:ascii="Times New Roman" w:hAnsi="Times New Roman" w:eastAsia="仿宋" w:cs="Times New Roman"/>
                <w:b/>
                <w:bCs/>
                <w:i w:val="0"/>
                <w:iCs w:val="0"/>
                <w:color w:val="auto"/>
                <w:sz w:val="21"/>
                <w:szCs w:val="21"/>
                <w:u w:val="none"/>
                <w:lang w:eastAsia="zh-CN"/>
              </w:rPr>
            </w:pPr>
            <w:r>
              <w:rPr>
                <w:rStyle w:val="6"/>
                <w:rFonts w:hint="default" w:ascii="Times New Roman" w:hAnsi="Times New Roman" w:cs="Times New Roman"/>
                <w:color w:val="auto"/>
                <w:lang w:val="en-US" w:eastAsia="zh-CN" w:bidi="ar"/>
              </w:rPr>
              <w:t>对开展的大型宣传活动，强化宣传报道，提升诚信建设影响力。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485"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Style w:val="6"/>
                <w:rFonts w:hint="default" w:ascii="Times New Roman" w:hAnsi="Times New Roman" w:cs="Times New Roman"/>
                <w:color w:val="auto"/>
                <w:lang w:val="en-US" w:eastAsia="zh-CN" w:bidi="ar"/>
              </w:rPr>
            </w:pPr>
            <w:r>
              <w:rPr>
                <w:rFonts w:hint="default" w:ascii="方正楷体_GBK" w:hAnsi="方正楷体_GBK" w:eastAsia="方正楷体_GBK" w:cs="方正楷体_GBK"/>
                <w:b/>
                <w:bCs/>
                <w:i w:val="0"/>
                <w:iCs w:val="0"/>
                <w:color w:val="auto"/>
                <w:kern w:val="0"/>
                <w:sz w:val="24"/>
                <w:szCs w:val="24"/>
                <w:u w:val="none"/>
                <w:lang w:val="en-US" w:eastAsia="zh-CN" w:bidi="ar"/>
              </w:rPr>
              <w:t>六、项目安全支撑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4" w:type="dxa"/>
            <w:tcBorders>
              <w:top w:val="nil"/>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1215"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三级等保测评</w:t>
            </w:r>
          </w:p>
        </w:tc>
        <w:tc>
          <w:tcPr>
            <w:tcW w:w="420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负责通过2024年达州市社会信用信息平台（网站）三级等保测评工作。</w:t>
            </w:r>
          </w:p>
        </w:tc>
        <w:tc>
          <w:tcPr>
            <w:tcW w:w="74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sz w:val="21"/>
                <w:szCs w:val="21"/>
                <w:u w:val="none"/>
              </w:rPr>
            </w:pPr>
            <w:r>
              <w:rPr>
                <w:rStyle w:val="6"/>
                <w:rFonts w:hint="default" w:ascii="Times New Roman" w:hAnsi="Times New Roman" w:cs="Times New Roman"/>
                <w:color w:val="auto"/>
                <w:lang w:val="en-US" w:eastAsia="zh-CN" w:bidi="ar"/>
              </w:rPr>
              <w:t>套</w:t>
            </w:r>
          </w:p>
        </w:tc>
        <w:tc>
          <w:tcPr>
            <w:tcW w:w="1826"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jc w:val="both"/>
              <w:rPr>
                <w:rFonts w:hint="default" w:ascii="Times New Roman" w:hAnsi="Times New Roman" w:eastAsia="仿宋" w:cs="Times New Roman"/>
                <w:b/>
                <w:bCs/>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Fonts w:hint="default" w:ascii="Times New Roman" w:hAnsi="Times New Roman" w:cs="Times New Roman"/>
                <w:b/>
                <w:bCs/>
                <w:i w:val="0"/>
                <w:iCs w:val="0"/>
                <w:color w:val="auto"/>
                <w:kern w:val="0"/>
                <w:sz w:val="21"/>
                <w:szCs w:val="21"/>
                <w:u w:val="none"/>
                <w:lang w:val="en-US" w:eastAsia="zh-CN" w:bidi="ar"/>
              </w:rPr>
              <w:t>2</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网站数字安全证书</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申请信用中国（四川达州）网站数字安全证书，防止网页被恶意篡改。</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套</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1" w:firstLineChars="200"/>
              <w:jc w:val="both"/>
              <w:rPr>
                <w:rFonts w:hint="default" w:ascii="Times New Roman" w:hAnsi="Times New Roman" w:eastAsia="仿宋" w:cs="Times New Roman"/>
                <w:b/>
                <w:bCs/>
                <w:i w:val="0"/>
                <w:iCs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Fonts w:hint="default" w:ascii="Times New Roman" w:hAnsi="Times New Roman" w:cs="Times New Roman"/>
                <w:b/>
                <w:bCs/>
                <w:i w:val="0"/>
                <w:iCs w:val="0"/>
                <w:color w:val="auto"/>
                <w:kern w:val="0"/>
                <w:sz w:val="21"/>
                <w:szCs w:val="21"/>
                <w:u w:val="none"/>
                <w:lang w:val="en-US" w:eastAsia="zh-CN" w:bidi="ar"/>
              </w:rPr>
              <w:t>3</w:t>
            </w:r>
          </w:p>
        </w:tc>
        <w:tc>
          <w:tcPr>
            <w:tcW w:w="121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Style w:val="6"/>
                <w:rFonts w:hint="default" w:ascii="Times New Roman" w:hAnsi="Times New Roman" w:cs="Times New Roman"/>
                <w:color w:val="auto"/>
                <w:highlight w:val="none"/>
                <w:lang w:val="en-US" w:eastAsia="zh-CN" w:bidi="ar"/>
              </w:rPr>
              <w:t>错字敏感字筛错系统</w:t>
            </w:r>
          </w:p>
        </w:tc>
        <w:tc>
          <w:tcPr>
            <w:tcW w:w="42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both"/>
              <w:textAlignment w:val="center"/>
              <w:rPr>
                <w:rFonts w:hint="default" w:ascii="Times New Roman" w:hAnsi="Times New Roman" w:eastAsia="仿宋" w:cs="Times New Roman"/>
                <w:b/>
                <w:bCs/>
                <w:i w:val="0"/>
                <w:iCs w:val="0"/>
                <w:color w:val="auto"/>
                <w:kern w:val="2"/>
                <w:sz w:val="21"/>
                <w:szCs w:val="21"/>
                <w:highlight w:val="none"/>
                <w:u w:val="none"/>
                <w:lang w:val="en-US" w:eastAsia="zh-CN" w:bidi="ar-SA"/>
              </w:rPr>
            </w:pPr>
            <w:r>
              <w:rPr>
                <w:rStyle w:val="6"/>
                <w:rFonts w:hint="default" w:ascii="Times New Roman" w:hAnsi="Times New Roman" w:cs="Times New Roman"/>
                <w:color w:val="auto"/>
                <w:highlight w:val="none"/>
                <w:lang w:val="en-US" w:eastAsia="zh-CN" w:bidi="ar"/>
              </w:rPr>
              <w:t>保证信用中国（四川达州）网站上信息发布内容符合国、省政治性要求</w:t>
            </w:r>
            <w:r>
              <w:rPr>
                <w:rStyle w:val="6"/>
                <w:rFonts w:hint="eastAsia" w:ascii="Times New Roman" w:hAnsi="Times New Roman" w:cs="Times New Roman"/>
                <w:color w:val="auto"/>
                <w:highlight w:val="none"/>
                <w:lang w:val="en-US" w:eastAsia="zh-CN" w:bidi="ar"/>
              </w:rPr>
              <w:t>，</w:t>
            </w:r>
            <w:r>
              <w:rPr>
                <w:rStyle w:val="6"/>
                <w:rFonts w:hint="default" w:ascii="Times New Roman" w:hAnsi="Times New Roman" w:cs="Times New Roman"/>
                <w:color w:val="auto"/>
                <w:highlight w:val="none"/>
                <w:lang w:val="en-US" w:eastAsia="zh-CN" w:bidi="ar"/>
              </w:rPr>
              <w:t>不存在错漏字、不出现意识形态或政治性错误。</w:t>
            </w:r>
          </w:p>
        </w:tc>
        <w:tc>
          <w:tcPr>
            <w:tcW w:w="74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Fonts w:hint="default" w:ascii="Times New Roman" w:hAnsi="Times New Roman" w:eastAsia="仿宋" w:cs="Times New Roman"/>
                <w:b/>
                <w:bCs/>
                <w:i w:val="0"/>
                <w:iCs w:val="0"/>
                <w:color w:val="auto"/>
                <w:kern w:val="0"/>
                <w:sz w:val="21"/>
                <w:szCs w:val="21"/>
                <w:u w:val="none"/>
                <w:lang w:val="en-US" w:eastAsia="zh-CN" w:bidi="ar"/>
              </w:rPr>
              <w:t>1</w:t>
            </w:r>
          </w:p>
        </w:tc>
        <w:tc>
          <w:tcPr>
            <w:tcW w:w="71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ind w:left="0" w:leftChars="0" w:firstLine="0" w:firstLineChars="0"/>
              <w:jc w:val="center"/>
              <w:textAlignment w:val="center"/>
              <w:rPr>
                <w:rFonts w:hint="default" w:ascii="Times New Roman" w:hAnsi="Times New Roman" w:eastAsia="仿宋" w:cs="Times New Roman"/>
                <w:b/>
                <w:bCs/>
                <w:i w:val="0"/>
                <w:iCs w:val="0"/>
                <w:color w:val="auto"/>
                <w:kern w:val="2"/>
                <w:sz w:val="21"/>
                <w:szCs w:val="21"/>
                <w:u w:val="none"/>
                <w:lang w:val="en-US" w:eastAsia="zh-CN" w:bidi="ar-SA"/>
              </w:rPr>
            </w:pPr>
            <w:r>
              <w:rPr>
                <w:rStyle w:val="6"/>
                <w:rFonts w:hint="default" w:ascii="Times New Roman" w:hAnsi="Times New Roman" w:cs="Times New Roman"/>
                <w:color w:val="auto"/>
                <w:lang w:val="en-US" w:eastAsia="zh-CN" w:bidi="ar"/>
              </w:rPr>
              <w:t>套</w:t>
            </w:r>
          </w:p>
        </w:tc>
        <w:tc>
          <w:tcPr>
            <w:tcW w:w="182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ind w:firstLine="421" w:firstLineChars="200"/>
              <w:jc w:val="both"/>
              <w:rPr>
                <w:rFonts w:hint="default" w:ascii="Times New Roman" w:hAnsi="Times New Roman" w:eastAsia="仿宋" w:cs="Times New Roman"/>
                <w:b/>
                <w:bCs/>
                <w:i w:val="0"/>
                <w:iCs w:val="0"/>
                <w:color w:val="auto"/>
                <w:kern w:val="2"/>
                <w:sz w:val="21"/>
                <w:szCs w:val="21"/>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pPr>
        <w:pStyle w:val="2"/>
        <w:rPr>
          <w:rFonts w:hint="default" w:ascii="Times New Roman" w:hAnsi="Times New Roman" w:eastAsia="方正仿宋_GBK" w:cs="Times New Roman"/>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6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AB786"/>
    <w:rsid w:val="3A7C4544"/>
    <w:rsid w:val="3CEEBE93"/>
    <w:rsid w:val="3FEDBB76"/>
    <w:rsid w:val="44B5069E"/>
    <w:rsid w:val="5DCF7033"/>
    <w:rsid w:val="7E6F542E"/>
    <w:rsid w:val="96DFA0E2"/>
    <w:rsid w:val="F7FAB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uppressAutoHyphens/>
      <w:spacing w:after="120"/>
    </w:pPr>
    <w:rPr>
      <w:rFonts w:ascii="Calibri" w:hAnsi="Calibri"/>
      <w:szCs w:val="24"/>
    </w:rPr>
  </w:style>
  <w:style w:type="table" w:styleId="4">
    <w:name w:val="Table Grid"/>
    <w:basedOn w:val="3"/>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hint="eastAsia" w:ascii="仿宋" w:hAnsi="仿宋" w:eastAsia="仿宋" w:cs="仿宋"/>
      <w:b/>
      <w:bCs/>
      <w:color w:val="000000"/>
      <w:sz w:val="21"/>
      <w:szCs w:val="21"/>
      <w:u w:val="none"/>
    </w:rPr>
  </w:style>
  <w:style w:type="character" w:customStyle="1" w:styleId="7">
    <w:name w:val="font11"/>
    <w:basedOn w:val="5"/>
    <w:qFormat/>
    <w:uiPriority w:val="0"/>
    <w:rPr>
      <w:rFonts w:ascii="Arial" w:hAnsi="Arial" w:cs="Arial"/>
      <w:b/>
      <w:bCs/>
      <w:color w:val="000000"/>
      <w:sz w:val="21"/>
      <w:szCs w:val="21"/>
      <w:u w:val="none"/>
    </w:rPr>
  </w:style>
  <w:style w:type="character" w:customStyle="1" w:styleId="8">
    <w:name w:val="font01"/>
    <w:basedOn w:val="5"/>
    <w:qFormat/>
    <w:uiPriority w:val="0"/>
    <w:rPr>
      <w:rFonts w:hint="eastAsia" w:ascii="仿宋" w:hAnsi="仿宋" w:eastAsia="仿宋" w:cs="仿宋"/>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edia/user/KINGSTON/&#20851;&#20110;&#8220;&#36798;&#24030;&#24066;&#31038;&#20250;&#20449;&#29992;&#20449;&#24687;&#24179;&#21488;&#22269;&#20135;&#21270;&#25913;&#36896;&#39033;&#30446;&#8221;&#21021;&#27493;&#35810;&#20215;&#209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关于“达州市社会信用信息平台国产化改造项目”初步询价函.dot</Template>
  <Pages>8</Pages>
  <Words>3513</Words>
  <Characters>3599</Characters>
  <Lines>0</Lines>
  <Paragraphs>0</Paragraphs>
  <TotalTime>22</TotalTime>
  <ScaleCrop>false</ScaleCrop>
  <LinksUpToDate>false</LinksUpToDate>
  <CharactersWithSpaces>3744</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2023-09-02T07:49:00Z</dcterms:created>
  <dc:creator>user</dc:creator>
  <cp:lastModifiedBy>user</cp:lastModifiedBy>
  <dcterms:modified xsi:type="dcterms:W3CDTF">2023-09-01T16:05:41Z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ies>
</file>